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BA9" w:rsidRPr="009569A2" w:rsidRDefault="004B2A3B" w:rsidP="004B2A3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69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ИНФОРМАЦИЯ </w:t>
      </w:r>
    </w:p>
    <w:p w:rsidR="004B2A3B" w:rsidRPr="009569A2" w:rsidRDefault="004B2A3B" w:rsidP="004B2A3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9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НЕОБХОДИМОСТИ ПРОХОЖДЕНИЯ ПОСТУПАЮЩИМИ</w:t>
      </w:r>
      <w:r w:rsidR="00B06BA9" w:rsidRPr="00956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6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9569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ОБЯЗАТЕЛЬНОГО ПРЕДВАРИТЕЛЬНОГО МЕДИЦИНСКОГО ОСМОТРА (ОБСЛЕДОВАНИЯ)</w:t>
      </w:r>
    </w:p>
    <w:p w:rsidR="00B06BA9" w:rsidRPr="009569A2" w:rsidRDefault="001A0052" w:rsidP="00B06BA9">
      <w:pPr>
        <w:pStyle w:val="Default"/>
        <w:ind w:firstLine="284"/>
        <w:jc w:val="both"/>
      </w:pPr>
      <w:r w:rsidRPr="009569A2">
        <w:t>В соответствии с Правилами приема в 201</w:t>
      </w:r>
      <w:r w:rsidR="00A33D34">
        <w:t>8</w:t>
      </w:r>
      <w:r w:rsidRPr="009569A2">
        <w:t xml:space="preserve"> году</w:t>
      </w:r>
      <w:r w:rsidR="00B06BA9" w:rsidRPr="009569A2">
        <w:t xml:space="preserve"> для получения среднего профессионального образования по специальностям здравоохранения очной формы обучения </w:t>
      </w:r>
      <w:r w:rsidRPr="009569A2">
        <w:t xml:space="preserve"> (приказ № </w:t>
      </w:r>
      <w:r w:rsidR="00B06BA9" w:rsidRPr="009569A2">
        <w:t>12</w:t>
      </w:r>
      <w:r w:rsidR="00A33D34">
        <w:t xml:space="preserve">8 </w:t>
      </w:r>
      <w:r w:rsidRPr="009569A2">
        <w:t xml:space="preserve">от </w:t>
      </w:r>
      <w:r w:rsidR="00B06BA9" w:rsidRPr="009569A2">
        <w:t>2</w:t>
      </w:r>
      <w:r w:rsidR="00A33D34">
        <w:t>8</w:t>
      </w:r>
      <w:r w:rsidRPr="009569A2">
        <w:t>.02.201</w:t>
      </w:r>
      <w:r w:rsidR="00A33D34">
        <w:t xml:space="preserve">8 </w:t>
      </w:r>
      <w:r w:rsidRPr="009569A2">
        <w:t>г) и на основании</w:t>
      </w:r>
      <w:r w:rsidR="00B06BA9" w:rsidRPr="009569A2">
        <w:t>:</w:t>
      </w:r>
    </w:p>
    <w:p w:rsidR="00B06BA9" w:rsidRPr="009569A2" w:rsidRDefault="001A0052" w:rsidP="00BA4348">
      <w:pPr>
        <w:pStyle w:val="Default"/>
        <w:numPr>
          <w:ilvl w:val="0"/>
          <w:numId w:val="3"/>
        </w:numPr>
        <w:ind w:left="426" w:hanging="426"/>
        <w:jc w:val="both"/>
      </w:pPr>
      <w:r w:rsidRPr="009569A2">
        <w:t>приказа Минздравсоцразвития России №</w:t>
      </w:r>
      <w:r w:rsidR="00BA4348" w:rsidRPr="009569A2">
        <w:t xml:space="preserve"> </w:t>
      </w:r>
      <w:r w:rsidRPr="009569A2">
        <w:t xml:space="preserve">302н от 12 апреля 2011 г. «Об утверждении перечней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Порядка проведения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труда», </w:t>
      </w:r>
    </w:p>
    <w:p w:rsidR="00B06BA9" w:rsidRPr="009569A2" w:rsidRDefault="001A0052" w:rsidP="00BA4348">
      <w:pPr>
        <w:pStyle w:val="Default"/>
        <w:numPr>
          <w:ilvl w:val="0"/>
          <w:numId w:val="3"/>
        </w:numPr>
        <w:ind w:left="426" w:hanging="426"/>
        <w:jc w:val="both"/>
      </w:pPr>
      <w:r w:rsidRPr="009569A2">
        <w:t>Постановления Правительства РФ от 14 августа 2013 г. № 697 «Об утверждении перечня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 должности или специальности»</w:t>
      </w:r>
      <w:r w:rsidR="00B06BA9" w:rsidRPr="009569A2">
        <w:t>;</w:t>
      </w:r>
    </w:p>
    <w:p w:rsidR="00BA4348" w:rsidRPr="009569A2" w:rsidRDefault="001A0052" w:rsidP="00BA4348">
      <w:pPr>
        <w:pStyle w:val="Default"/>
        <w:numPr>
          <w:ilvl w:val="0"/>
          <w:numId w:val="3"/>
        </w:numPr>
        <w:ind w:left="426" w:hanging="426"/>
        <w:jc w:val="both"/>
      </w:pPr>
      <w:r w:rsidRPr="009569A2">
        <w:t xml:space="preserve">Приказа Министерства здравоохранения РФ от 21 декабря 2012 г. № 1346н «О Порядке прохождения несовершеннолетними медицинских осмотров, в том числе при поступлении в образовательные учреждения и в период обучения в них» </w:t>
      </w:r>
    </w:p>
    <w:p w:rsidR="001A0052" w:rsidRPr="009569A2" w:rsidRDefault="00BA4348" w:rsidP="00BA4348">
      <w:pPr>
        <w:pStyle w:val="Default"/>
        <w:jc w:val="both"/>
      </w:pPr>
      <w:r w:rsidRPr="009569A2">
        <w:t>поступающие</w:t>
      </w:r>
      <w:r w:rsidRPr="009569A2">
        <w:rPr>
          <w:rFonts w:eastAsia="Times New Roman"/>
          <w:lang w:eastAsia="ru-RU"/>
        </w:rPr>
        <w:t xml:space="preserve"> </w:t>
      </w:r>
      <w:r w:rsidR="00B06BA9" w:rsidRPr="009569A2">
        <w:rPr>
          <w:rFonts w:eastAsia="Times New Roman"/>
          <w:lang w:eastAsia="ru-RU"/>
        </w:rPr>
        <w:t>на обучение в Медицинский колледж УрГУПС </w:t>
      </w:r>
      <w:r w:rsidR="001A0052" w:rsidRPr="009569A2">
        <w:t xml:space="preserve"> проходят обязательные предварительные медицинские осмотры (обследования)</w:t>
      </w:r>
      <w:r w:rsidRPr="009569A2">
        <w:t>.</w:t>
      </w:r>
    </w:p>
    <w:p w:rsidR="00BA4348" w:rsidRPr="009569A2" w:rsidRDefault="00BA4348" w:rsidP="00BA43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9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Поступающий представляет оригинал или копию медицинской справки, содержащей сведения о проведении медицинского осмотра в соответствии с перечнем врачей-специалистов, лабораторных и функциональных исследований, установленным приказом Министерства здравоохранения и социального развития Российской Федерации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(далее - приказ Минздравсоцразвития России).</w:t>
      </w:r>
    </w:p>
    <w:p w:rsidR="00BA4348" w:rsidRDefault="001A0052" w:rsidP="009569A2">
      <w:pPr>
        <w:pStyle w:val="Default"/>
        <w:numPr>
          <w:ilvl w:val="0"/>
          <w:numId w:val="8"/>
        </w:num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Медицинская справка </w:t>
      </w:r>
      <w:r w:rsidRPr="009569A2">
        <w:rPr>
          <w:bCs/>
          <w:sz w:val="23"/>
          <w:szCs w:val="23"/>
        </w:rPr>
        <w:t>должна содержать результаты исследований при проведении предварительного медицинского осмотра:</w:t>
      </w:r>
      <w:r>
        <w:rPr>
          <w:b/>
          <w:bCs/>
          <w:sz w:val="23"/>
          <w:szCs w:val="23"/>
        </w:rPr>
        <w:t xml:space="preserve"> </w:t>
      </w:r>
    </w:p>
    <w:p w:rsidR="00BA4348" w:rsidRDefault="001A0052" w:rsidP="00BA4348">
      <w:pPr>
        <w:pStyle w:val="Default"/>
        <w:ind w:left="426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Врачей – специалистов: </w:t>
      </w:r>
    </w:p>
    <w:p w:rsidR="00BA4348" w:rsidRDefault="001A0052" w:rsidP="00BA4348">
      <w:pPr>
        <w:pStyle w:val="Default"/>
        <w:ind w:left="426"/>
        <w:rPr>
          <w:sz w:val="23"/>
          <w:szCs w:val="23"/>
        </w:rPr>
      </w:pPr>
      <w:r>
        <w:rPr>
          <w:sz w:val="23"/>
          <w:szCs w:val="23"/>
        </w:rPr>
        <w:t xml:space="preserve">1. Дерматовенеролога </w:t>
      </w:r>
    </w:p>
    <w:p w:rsidR="00BA4348" w:rsidRDefault="001A0052" w:rsidP="00BA4348">
      <w:pPr>
        <w:pStyle w:val="Default"/>
        <w:ind w:left="426"/>
        <w:rPr>
          <w:sz w:val="23"/>
          <w:szCs w:val="23"/>
        </w:rPr>
      </w:pPr>
      <w:r>
        <w:rPr>
          <w:sz w:val="23"/>
          <w:szCs w:val="23"/>
        </w:rPr>
        <w:t xml:space="preserve">2. Оториноларинголога </w:t>
      </w:r>
    </w:p>
    <w:p w:rsidR="00BA4348" w:rsidRDefault="001A0052" w:rsidP="00BA4348">
      <w:pPr>
        <w:pStyle w:val="Default"/>
        <w:ind w:left="426"/>
        <w:rPr>
          <w:sz w:val="23"/>
          <w:szCs w:val="23"/>
        </w:rPr>
      </w:pPr>
      <w:r>
        <w:rPr>
          <w:sz w:val="23"/>
          <w:szCs w:val="23"/>
        </w:rPr>
        <w:t xml:space="preserve">3. Стоматолога </w:t>
      </w:r>
    </w:p>
    <w:p w:rsidR="00BA4348" w:rsidRDefault="001A0052" w:rsidP="00BA4348">
      <w:pPr>
        <w:pStyle w:val="Default"/>
        <w:ind w:left="426"/>
        <w:rPr>
          <w:sz w:val="23"/>
          <w:szCs w:val="23"/>
        </w:rPr>
      </w:pPr>
      <w:r>
        <w:rPr>
          <w:sz w:val="23"/>
          <w:szCs w:val="23"/>
        </w:rPr>
        <w:t>4. Педиатра/терапевта</w:t>
      </w:r>
    </w:p>
    <w:p w:rsidR="00BA4348" w:rsidRDefault="001A0052" w:rsidP="00BA4348">
      <w:pPr>
        <w:pStyle w:val="Default"/>
        <w:ind w:left="426"/>
        <w:rPr>
          <w:sz w:val="23"/>
          <w:szCs w:val="23"/>
        </w:rPr>
      </w:pPr>
      <w:r>
        <w:rPr>
          <w:sz w:val="23"/>
          <w:szCs w:val="23"/>
        </w:rPr>
        <w:t xml:space="preserve"> 5. Хирурга</w:t>
      </w:r>
    </w:p>
    <w:p w:rsidR="00BA4348" w:rsidRDefault="001A0052" w:rsidP="00BA4348">
      <w:pPr>
        <w:pStyle w:val="Default"/>
        <w:ind w:left="426"/>
        <w:rPr>
          <w:sz w:val="23"/>
          <w:szCs w:val="23"/>
        </w:rPr>
      </w:pPr>
      <w:r>
        <w:rPr>
          <w:sz w:val="23"/>
          <w:szCs w:val="23"/>
        </w:rPr>
        <w:t xml:space="preserve"> 6. Уролога (для юношей) </w:t>
      </w:r>
    </w:p>
    <w:p w:rsidR="00BA4348" w:rsidRDefault="001A0052" w:rsidP="00BA4348">
      <w:pPr>
        <w:pStyle w:val="Default"/>
        <w:ind w:left="426"/>
        <w:rPr>
          <w:sz w:val="23"/>
          <w:szCs w:val="23"/>
        </w:rPr>
      </w:pPr>
      <w:r>
        <w:rPr>
          <w:sz w:val="23"/>
          <w:szCs w:val="23"/>
        </w:rPr>
        <w:t xml:space="preserve">7. Эндокринолога </w:t>
      </w:r>
    </w:p>
    <w:p w:rsidR="00BA4348" w:rsidRDefault="001A0052" w:rsidP="00BA4348">
      <w:pPr>
        <w:pStyle w:val="Default"/>
        <w:ind w:left="426"/>
        <w:rPr>
          <w:sz w:val="23"/>
          <w:szCs w:val="23"/>
        </w:rPr>
      </w:pPr>
      <w:r>
        <w:rPr>
          <w:sz w:val="23"/>
          <w:szCs w:val="23"/>
        </w:rPr>
        <w:t xml:space="preserve">8. Невролога </w:t>
      </w:r>
    </w:p>
    <w:p w:rsidR="00BA4348" w:rsidRDefault="001A0052" w:rsidP="00BA4348">
      <w:pPr>
        <w:pStyle w:val="Default"/>
        <w:ind w:left="426"/>
        <w:rPr>
          <w:sz w:val="23"/>
          <w:szCs w:val="23"/>
        </w:rPr>
      </w:pPr>
      <w:r>
        <w:rPr>
          <w:sz w:val="23"/>
          <w:szCs w:val="23"/>
        </w:rPr>
        <w:t xml:space="preserve">9. Травматолога-ортопеда </w:t>
      </w:r>
    </w:p>
    <w:p w:rsidR="00BA4348" w:rsidRDefault="001A0052" w:rsidP="00BA4348">
      <w:pPr>
        <w:pStyle w:val="Default"/>
        <w:ind w:left="426"/>
        <w:rPr>
          <w:sz w:val="23"/>
          <w:szCs w:val="23"/>
        </w:rPr>
      </w:pPr>
      <w:r>
        <w:rPr>
          <w:sz w:val="23"/>
          <w:szCs w:val="23"/>
        </w:rPr>
        <w:t>10.Офтальмолога</w:t>
      </w:r>
    </w:p>
    <w:p w:rsidR="00BA4348" w:rsidRDefault="001A0052" w:rsidP="00BA4348">
      <w:pPr>
        <w:pStyle w:val="Default"/>
        <w:ind w:left="426"/>
        <w:rPr>
          <w:sz w:val="23"/>
          <w:szCs w:val="23"/>
        </w:rPr>
      </w:pPr>
      <w:r>
        <w:rPr>
          <w:sz w:val="23"/>
          <w:szCs w:val="23"/>
        </w:rPr>
        <w:t xml:space="preserve">11.Акушер-гинеколога (для девушек) </w:t>
      </w:r>
    </w:p>
    <w:p w:rsidR="00BA4348" w:rsidRDefault="001A0052" w:rsidP="00BA4348">
      <w:pPr>
        <w:pStyle w:val="Default"/>
        <w:ind w:left="426"/>
        <w:rPr>
          <w:sz w:val="23"/>
          <w:szCs w:val="23"/>
        </w:rPr>
      </w:pPr>
      <w:r>
        <w:rPr>
          <w:sz w:val="23"/>
          <w:szCs w:val="23"/>
        </w:rPr>
        <w:t>12.Психиатра</w:t>
      </w:r>
    </w:p>
    <w:p w:rsidR="00BA4348" w:rsidRDefault="001A0052" w:rsidP="00BA4348">
      <w:pPr>
        <w:pStyle w:val="Default"/>
        <w:ind w:left="426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 13.Нарколога </w:t>
      </w:r>
    </w:p>
    <w:p w:rsidR="00BA4348" w:rsidRDefault="001A0052" w:rsidP="00BA4348">
      <w:pPr>
        <w:pStyle w:val="Default"/>
        <w:ind w:left="426"/>
        <w:rPr>
          <w:sz w:val="23"/>
          <w:szCs w:val="23"/>
        </w:rPr>
      </w:pPr>
      <w:r>
        <w:rPr>
          <w:sz w:val="23"/>
          <w:szCs w:val="23"/>
        </w:rPr>
        <w:t>14.Инфекциониста</w:t>
      </w:r>
    </w:p>
    <w:p w:rsidR="00BA4348" w:rsidRDefault="001A0052" w:rsidP="00BA4348">
      <w:pPr>
        <w:pStyle w:val="Default"/>
        <w:ind w:left="426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Результаты лабораторных и функциональных исследований: </w:t>
      </w:r>
    </w:p>
    <w:p w:rsidR="00BA4348" w:rsidRDefault="001A0052" w:rsidP="00BA4348">
      <w:pPr>
        <w:pStyle w:val="Default"/>
        <w:ind w:left="426"/>
        <w:rPr>
          <w:sz w:val="23"/>
          <w:szCs w:val="23"/>
        </w:rPr>
      </w:pPr>
      <w:r>
        <w:rPr>
          <w:sz w:val="23"/>
          <w:szCs w:val="23"/>
        </w:rPr>
        <w:t xml:space="preserve">1. Флюорографии легких </w:t>
      </w:r>
    </w:p>
    <w:p w:rsidR="00BA4348" w:rsidRDefault="001A0052" w:rsidP="00BA4348">
      <w:pPr>
        <w:pStyle w:val="Default"/>
        <w:ind w:left="426"/>
        <w:rPr>
          <w:sz w:val="23"/>
          <w:szCs w:val="23"/>
        </w:rPr>
      </w:pPr>
      <w:r>
        <w:rPr>
          <w:sz w:val="23"/>
          <w:szCs w:val="23"/>
        </w:rPr>
        <w:t xml:space="preserve">2. Крови на сифилис </w:t>
      </w:r>
    </w:p>
    <w:p w:rsidR="00BA4348" w:rsidRDefault="001A0052" w:rsidP="00BA4348">
      <w:pPr>
        <w:pStyle w:val="Default"/>
        <w:ind w:left="426"/>
        <w:rPr>
          <w:sz w:val="23"/>
          <w:szCs w:val="23"/>
        </w:rPr>
      </w:pPr>
      <w:r>
        <w:rPr>
          <w:sz w:val="23"/>
          <w:szCs w:val="23"/>
        </w:rPr>
        <w:t xml:space="preserve">3. Мазка на гонорею </w:t>
      </w:r>
    </w:p>
    <w:p w:rsidR="00BA4348" w:rsidRDefault="001A0052" w:rsidP="00BA4348">
      <w:pPr>
        <w:pStyle w:val="Default"/>
        <w:ind w:left="426"/>
        <w:rPr>
          <w:sz w:val="23"/>
          <w:szCs w:val="23"/>
        </w:rPr>
      </w:pPr>
      <w:r>
        <w:rPr>
          <w:sz w:val="23"/>
          <w:szCs w:val="23"/>
        </w:rPr>
        <w:t>4. На носительство возбудителей кишечных инфекций</w:t>
      </w:r>
    </w:p>
    <w:p w:rsidR="00BA4348" w:rsidRDefault="001A0052" w:rsidP="00BA4348">
      <w:pPr>
        <w:pStyle w:val="Default"/>
        <w:ind w:left="426"/>
        <w:rPr>
          <w:sz w:val="23"/>
          <w:szCs w:val="23"/>
        </w:rPr>
      </w:pPr>
      <w:r>
        <w:rPr>
          <w:sz w:val="23"/>
          <w:szCs w:val="23"/>
        </w:rPr>
        <w:t xml:space="preserve"> 5. Серологического обследования на брюшной тиф</w:t>
      </w:r>
    </w:p>
    <w:p w:rsidR="00BA4348" w:rsidRDefault="001A0052" w:rsidP="00BA4348">
      <w:pPr>
        <w:pStyle w:val="Default"/>
        <w:ind w:left="426"/>
        <w:rPr>
          <w:sz w:val="23"/>
          <w:szCs w:val="23"/>
        </w:rPr>
      </w:pPr>
      <w:r>
        <w:rPr>
          <w:sz w:val="23"/>
          <w:szCs w:val="23"/>
        </w:rPr>
        <w:t xml:space="preserve"> 6. На гельминтозы </w:t>
      </w:r>
    </w:p>
    <w:p w:rsidR="00BA4348" w:rsidRDefault="001A0052" w:rsidP="00BA4348">
      <w:pPr>
        <w:pStyle w:val="Default"/>
        <w:ind w:left="426"/>
        <w:rPr>
          <w:sz w:val="23"/>
          <w:szCs w:val="23"/>
        </w:rPr>
      </w:pPr>
      <w:r>
        <w:rPr>
          <w:sz w:val="23"/>
          <w:szCs w:val="23"/>
        </w:rPr>
        <w:t>7. Мазка из зева и носа на наличие патогенного стафилококка</w:t>
      </w:r>
    </w:p>
    <w:p w:rsidR="00BA4348" w:rsidRDefault="001A0052" w:rsidP="00BA4348">
      <w:pPr>
        <w:pStyle w:val="Default"/>
        <w:ind w:left="426"/>
        <w:rPr>
          <w:sz w:val="23"/>
          <w:szCs w:val="23"/>
        </w:rPr>
      </w:pPr>
      <w:r>
        <w:rPr>
          <w:sz w:val="23"/>
          <w:szCs w:val="23"/>
        </w:rPr>
        <w:t xml:space="preserve"> 8. Общего анализа крови </w:t>
      </w:r>
    </w:p>
    <w:p w:rsidR="00BA4348" w:rsidRDefault="001A0052" w:rsidP="00BA4348">
      <w:pPr>
        <w:pStyle w:val="Default"/>
        <w:ind w:left="426"/>
        <w:rPr>
          <w:sz w:val="23"/>
          <w:szCs w:val="23"/>
        </w:rPr>
      </w:pPr>
      <w:r>
        <w:rPr>
          <w:sz w:val="23"/>
          <w:szCs w:val="23"/>
        </w:rPr>
        <w:t xml:space="preserve">9. Общего анализа мочи </w:t>
      </w:r>
    </w:p>
    <w:p w:rsidR="00BA4348" w:rsidRDefault="001A0052" w:rsidP="00BA4348">
      <w:pPr>
        <w:pStyle w:val="Default"/>
        <w:ind w:left="426"/>
        <w:rPr>
          <w:sz w:val="23"/>
          <w:szCs w:val="23"/>
        </w:rPr>
      </w:pPr>
      <w:r>
        <w:rPr>
          <w:sz w:val="23"/>
          <w:szCs w:val="23"/>
        </w:rPr>
        <w:t xml:space="preserve">10. Уровня глюкозы в крови </w:t>
      </w:r>
    </w:p>
    <w:p w:rsidR="00BA4348" w:rsidRDefault="001A0052" w:rsidP="00BA4348">
      <w:pPr>
        <w:pStyle w:val="Default"/>
        <w:ind w:left="426"/>
        <w:rPr>
          <w:sz w:val="23"/>
          <w:szCs w:val="23"/>
        </w:rPr>
      </w:pPr>
      <w:r>
        <w:rPr>
          <w:sz w:val="23"/>
          <w:szCs w:val="23"/>
        </w:rPr>
        <w:t xml:space="preserve">11.Электрокардиографии </w:t>
      </w:r>
    </w:p>
    <w:p w:rsidR="00BA4348" w:rsidRDefault="00BA4348" w:rsidP="00BA4348">
      <w:pPr>
        <w:pStyle w:val="Default"/>
        <w:ind w:left="426"/>
        <w:rPr>
          <w:sz w:val="23"/>
          <w:szCs w:val="23"/>
        </w:rPr>
      </w:pPr>
    </w:p>
    <w:p w:rsidR="00BA4348" w:rsidRDefault="001A0052" w:rsidP="00BA434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Результаты обследования, включая сведения о перенесенных инфекционных заболеваниях, заносятся в форму 086 и личную медицинскую книжку (приказ Роспотребнадзора от 20.05.2005 № 402 (ред. от 07.04.2009) «О личной медицинской </w:t>
      </w:r>
      <w:r w:rsidRPr="001A0052">
        <w:rPr>
          <w:sz w:val="23"/>
          <w:szCs w:val="23"/>
        </w:rPr>
        <w:t xml:space="preserve">книжке и санитарном паспорте»). </w:t>
      </w:r>
    </w:p>
    <w:p w:rsidR="001A0052" w:rsidRPr="009569A2" w:rsidRDefault="001A0052" w:rsidP="009569A2">
      <w:pPr>
        <w:pStyle w:val="Default"/>
        <w:jc w:val="both"/>
      </w:pPr>
      <w:r w:rsidRPr="009569A2">
        <w:rPr>
          <w:b/>
        </w:rPr>
        <w:t>Медицинская справка</w:t>
      </w:r>
      <w:r w:rsidRPr="009569A2">
        <w:t xml:space="preserve"> признается действительной, если она получена не ранее года до дня завершения приема документов и вступительных испытаний. </w:t>
      </w:r>
    </w:p>
    <w:p w:rsidR="00BA4348" w:rsidRPr="00BA4348" w:rsidRDefault="00BA4348" w:rsidP="00BA43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34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Медицинские работники, имеющие паспорт здоровья или санитарную книжку, могут предъявлять данные документы вместо справки установленного образца, при условии наличия заключений дерматовенеролога, нарколога, психиатра, гинеколога (для женщин)  датированных не ранее 16.12.201</w:t>
      </w:r>
      <w:r w:rsidR="009569A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BA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4B2A3B" w:rsidRPr="009569A2" w:rsidRDefault="004B2A3B" w:rsidP="00E5711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9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общих медицинских противопоказаний  к допуску к работам при выполнении которых обязательно прохождение предварительных и периодических медосмотров (обследований) работников</w:t>
      </w:r>
      <w:r w:rsidR="00956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7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  <w:r w:rsidRPr="009569A2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№11 к приказу Министерства здравоохранения и социального развития Российской Федерации от 12 апреля 2011 г. N 302н)</w:t>
      </w:r>
    </w:p>
    <w:p w:rsidR="004B2A3B" w:rsidRPr="00ED3D56" w:rsidRDefault="004B2A3B" w:rsidP="009569A2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D56">
        <w:rPr>
          <w:rFonts w:ascii="Times New Roman" w:eastAsia="Times New Roman" w:hAnsi="Times New Roman" w:cs="Times New Roman"/>
          <w:sz w:val="24"/>
          <w:szCs w:val="24"/>
          <w:lang w:eastAsia="ru-RU"/>
        </w:rPr>
        <w:t>Врожденные пороки развития,  деформации, хромосомные аномалии со стойкими значительными нарушениями функций органов и систем.</w:t>
      </w:r>
    </w:p>
    <w:p w:rsidR="004B2A3B" w:rsidRPr="00ED3D56" w:rsidRDefault="004B2A3B" w:rsidP="009569A2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D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Последствия повреждений центральной и периферической нервной системы, внутренних органов и соединительной ткани от воздействия внешних факторов (травмы, радиация, термическое, химическое и другое воздействие и т.д.) с развитием необратимых изменений, вызвавших нарушения функции органов и систем значительной степени.</w:t>
      </w:r>
    </w:p>
    <w:p w:rsidR="004B2A3B" w:rsidRPr="00ED3D56" w:rsidRDefault="004B2A3B" w:rsidP="009569A2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D5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Заболевания центральной нервной системы различной этиологии с двигательными и чувствительными нарушениями, расстройствами координации и статики, когнитивными и мнестико-интеллектуальными нарушениями.</w:t>
      </w:r>
    </w:p>
    <w:p w:rsidR="004B2A3B" w:rsidRPr="00ED3D56" w:rsidRDefault="004B2A3B" w:rsidP="009569A2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D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Нарколепсия и каталепсия.</w:t>
      </w:r>
    </w:p>
    <w:p w:rsidR="004B2A3B" w:rsidRPr="00ED3D56" w:rsidRDefault="004B2A3B" w:rsidP="009569A2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D5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Заболевания, сопровождающиеся расстройствами сознания: эпилепсия и эпилептические синдромы различной этиологии; синкопальные синдромы различной этиологии и др.</w:t>
      </w:r>
    </w:p>
    <w:p w:rsidR="004B2A3B" w:rsidRPr="00E57110" w:rsidRDefault="004B2A3B" w:rsidP="009569A2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Психические заболевания с тяжелыми, стойкими или часто обостряющимися  болезненными проявлениями и приравненные к ним состояния, подлежащие обязательному динамическому наблюдению в психоневрологических диспансерах. </w:t>
      </w:r>
      <w:r w:rsidR="00E57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E57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случаях выраженных форм расстройств настроения, невротических, связанных со стрессом, соматоформных, поведенческих расстройств и расстройств личности вопрос о профессиональной пригодности к соответствующим работам решается </w:t>
      </w:r>
      <w:r w:rsidRPr="00E571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индивидуально комиссией врачей-специалистов, соответствующих профилю заболевания, с участием врача-профпатолога.</w:t>
      </w:r>
    </w:p>
    <w:p w:rsidR="004B2A3B" w:rsidRPr="00ED3D56" w:rsidRDefault="004B2A3B" w:rsidP="009569A2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D5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Алкоголизм, токсикомания, наркомания.</w:t>
      </w:r>
    </w:p>
    <w:p w:rsidR="004B2A3B" w:rsidRPr="00ED3D56" w:rsidRDefault="004B2A3B" w:rsidP="009569A2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D5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Болезни эндокринной системы прогрессирующего течения с признаками поражения других органов и систем и нарушением их функции 3-4 степени.</w:t>
      </w:r>
    </w:p>
    <w:p w:rsidR="004B2A3B" w:rsidRPr="00ED3D56" w:rsidRDefault="004B2A3B" w:rsidP="009569A2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D56">
        <w:rPr>
          <w:rFonts w:ascii="Times New Roman" w:eastAsia="Times New Roman" w:hAnsi="Times New Roman" w:cs="Times New Roman"/>
          <w:sz w:val="24"/>
          <w:szCs w:val="24"/>
          <w:lang w:eastAsia="ru-RU"/>
        </w:rPr>
        <w:t>Злокачественные заболевания любой локализации (после проведенного лечения вопрос решается индивидуально комиссией врачей-специалистов, профпатологом, онкологом).</w:t>
      </w:r>
    </w:p>
    <w:p w:rsidR="004B2A3B" w:rsidRPr="00ED3D56" w:rsidRDefault="004B2A3B" w:rsidP="009569A2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  <w:tab w:val="left" w:pos="851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D5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Заболевания крови и кроветворных органов с прогрессирующим и рецидивирующим течением (гемобластозы, выраженные формы гемолитических и апластических анемий, геморрагические диатезы).</w:t>
      </w:r>
    </w:p>
    <w:p w:rsidR="004B2A3B" w:rsidRPr="00ED3D56" w:rsidRDefault="004B2A3B" w:rsidP="009569A2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  <w:tab w:val="left" w:pos="851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D5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Гипертоническая болезнь III стадии, 3 степени, риск IV.</w:t>
      </w:r>
    </w:p>
    <w:p w:rsidR="004B2A3B" w:rsidRPr="00ED3D56" w:rsidRDefault="004B2A3B" w:rsidP="009569A2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  <w:tab w:val="left" w:pos="851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D56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Хронические болезни сердца и перикарда с недостаточностью кровообращения  ФК III</w:t>
      </w:r>
    </w:p>
    <w:p w:rsidR="004B2A3B" w:rsidRPr="00ED3D56" w:rsidRDefault="004B2A3B" w:rsidP="009569A2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  <w:tab w:val="left" w:pos="851"/>
        </w:tabs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D56">
        <w:rPr>
          <w:rFonts w:ascii="Times New Roman" w:eastAsia="Times New Roman" w:hAnsi="Times New Roman" w:cs="Times New Roman"/>
          <w:sz w:val="24"/>
          <w:szCs w:val="24"/>
          <w:lang w:eastAsia="ru-RU"/>
        </w:rPr>
        <w:t>Ишемическая болезнь сердца:</w:t>
      </w:r>
      <w:r w:rsidRPr="00ED3D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13.1 стенокардия ФК III – IV;</w:t>
      </w:r>
      <w:r w:rsidRPr="00ED3D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13.1.1. с нарушением проводимости (синоаурикулярная блокада III степени, слабость синусового узла);</w:t>
      </w:r>
      <w:r w:rsidRPr="00ED3D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13.1.2. пароксизмальные нарушения ритма с потенциально злокачественными желудочковыми аритмиями и нарушениями гемодинамики;</w:t>
      </w:r>
      <w:r w:rsidRPr="00ED3D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13.1.3. постинфарктный кардиосклероз, аневризма сердца.</w:t>
      </w:r>
    </w:p>
    <w:p w:rsidR="004B2A3B" w:rsidRPr="00ED3D56" w:rsidRDefault="004B2A3B" w:rsidP="009569A2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  <w:tab w:val="left" w:pos="851"/>
          <w:tab w:val="left" w:pos="1276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D5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Аневризмы и расслоения любых отделов аорты и артерий.</w:t>
      </w:r>
    </w:p>
    <w:p w:rsidR="004B2A3B" w:rsidRPr="00ED3D56" w:rsidRDefault="004B2A3B" w:rsidP="009569A2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  <w:tab w:val="left" w:pos="851"/>
          <w:tab w:val="left" w:pos="1276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D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Облитерирующий атеросклероз аорты с облитерацией висцеральных артерий и нарушением функции органов.</w:t>
      </w:r>
    </w:p>
    <w:p w:rsidR="004B2A3B" w:rsidRPr="00ED3D56" w:rsidRDefault="004B2A3B" w:rsidP="009569A2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  <w:tab w:val="left" w:pos="851"/>
          <w:tab w:val="left" w:pos="1276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D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Облитерирующий атеросклероз сосудов конечностей, тромбангиит, аортоартериит с признаками декомпенсации кровоснабжения конечности(ей).</w:t>
      </w:r>
    </w:p>
    <w:p w:rsidR="004B2A3B" w:rsidRPr="00ED3D56" w:rsidRDefault="004B2A3B" w:rsidP="009569A2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  <w:tab w:val="left" w:pos="851"/>
          <w:tab w:val="left" w:pos="1276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D5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Варикозная и посттромбофлебитическая болезнь нижних конечностей с явлениями хронической венозной недостаточности 3 степени и выше. Лимфангиит и другие нарушения лимфооттока 3-4 степени.</w:t>
      </w:r>
    </w:p>
    <w:p w:rsidR="004B2A3B" w:rsidRPr="00ED3D56" w:rsidRDefault="004B2A3B" w:rsidP="009569A2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  <w:tab w:val="left" w:pos="851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D5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Ревматизм: активная фаза, частые рецидивы с поражением сердца и других органов и систем и хронической сердечной недостаточностью 2-3 степени.</w:t>
      </w:r>
    </w:p>
    <w:p w:rsidR="004B2A3B" w:rsidRPr="00ED3D56" w:rsidRDefault="004B2A3B" w:rsidP="009569A2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  <w:tab w:val="left" w:pos="851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D5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Болезни бронхолегочной системы с явлениями дыхательной недостаточности или легочно-сердечной недостаточности 2-3 степени.</w:t>
      </w:r>
    </w:p>
    <w:p w:rsidR="004B2A3B" w:rsidRPr="00ED3D56" w:rsidRDefault="004B2A3B" w:rsidP="009569A2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  <w:tab w:val="left" w:pos="851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D5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Активные формы туберкулеза любой локализации.</w:t>
      </w:r>
    </w:p>
    <w:p w:rsidR="004B2A3B" w:rsidRPr="00ED3D56" w:rsidRDefault="004B2A3B" w:rsidP="009569A2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  <w:tab w:val="left" w:pos="851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D5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Осложненное течение язвенной болезни желудка, двенадцатиперстной кишки с хроническим часто (3 раза и более за календарный год) рецидивирующим течением и развитием осложнений.</w:t>
      </w:r>
    </w:p>
    <w:p w:rsidR="004B2A3B" w:rsidRPr="00ED3D56" w:rsidRDefault="004B2A3B" w:rsidP="009569A2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  <w:tab w:val="left" w:pos="851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D56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Хронические гепатиты, декомпенсированные циррозы печени и другие заболевания печени с признаками печеночной недостаточности 2-3 степени и портальной гипертензии.</w:t>
      </w:r>
    </w:p>
    <w:p w:rsidR="004B2A3B" w:rsidRPr="00ED3D56" w:rsidRDefault="004B2A3B" w:rsidP="009569A2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  <w:tab w:val="left" w:pos="851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D56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Хронические заболевания почек и мочевыводящих путей с явлениями хронической почечной недостаточности 2-3 степени.</w:t>
      </w:r>
    </w:p>
    <w:p w:rsidR="004B2A3B" w:rsidRPr="00ED3D56" w:rsidRDefault="004B2A3B" w:rsidP="009569A2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  <w:tab w:val="left" w:pos="851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D5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Неспецифический язвенный колит и болезнь Крона тяжелого течения.</w:t>
      </w:r>
    </w:p>
    <w:p w:rsidR="004B2A3B" w:rsidRPr="00ED3D56" w:rsidRDefault="004B2A3B" w:rsidP="009569A2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  <w:tab w:val="left" w:pos="851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D5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Диффузные заболевания соединительной ткани с нарушением функции органов и систем 3-4 степени, системные васкулиты.</w:t>
      </w:r>
    </w:p>
    <w:p w:rsidR="004B2A3B" w:rsidRPr="00ED3D56" w:rsidRDefault="004B2A3B" w:rsidP="009569A2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  <w:tab w:val="left" w:pos="851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D56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Хронические заболевания периферической нервной системы и нервно-мышечные заболевания с умеренными и значительными нарушениями функций.</w:t>
      </w:r>
    </w:p>
    <w:p w:rsidR="004B2A3B" w:rsidRPr="00ED3D56" w:rsidRDefault="004B2A3B" w:rsidP="009569A2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  <w:tab w:val="left" w:pos="851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D56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Хронические заболевания опорно-двигательного аппарата с нарушениями функции 3 и более степени.</w:t>
      </w:r>
    </w:p>
    <w:p w:rsidR="004B2A3B" w:rsidRPr="00ED3D56" w:rsidRDefault="004B2A3B" w:rsidP="009569A2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  <w:tab w:val="left" w:pos="851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D56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Хронические заболевания кожи: хроническая распространенная, часто рецидивирующая ( не менее 4 раз в од) экзема; псориаз универсальный, распространенный, артропатический, пустулезный, псориатическая эритродермия; вульгарная пузырчатка; хронический необратимый распространенный ихтиоз, хронический прогрессирующий атопический дерматит.</w:t>
      </w:r>
    </w:p>
    <w:p w:rsidR="004B2A3B" w:rsidRPr="00ED3D56" w:rsidRDefault="004B2A3B" w:rsidP="009569A2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  <w:tab w:val="left" w:pos="851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D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Хронические рецидивирующие формы инфекционных и паразитарных заболеваний, поствакцинальные поражения  в случае неподдающихся или трудноподдающихся лечению клинических форм.</w:t>
      </w:r>
    </w:p>
    <w:p w:rsidR="004B2A3B" w:rsidRPr="00ED3D56" w:rsidRDefault="004B2A3B" w:rsidP="009569A2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  <w:tab w:val="left" w:pos="851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D5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Беременность и период лактации.</w:t>
      </w:r>
    </w:p>
    <w:p w:rsidR="004B2A3B" w:rsidRPr="00ED3D56" w:rsidRDefault="004B2A3B" w:rsidP="009569A2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  <w:tab w:val="left" w:pos="851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D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Привычное невынашивание и аномалии плода в анамнезе у женщин детородного возраста.</w:t>
      </w:r>
    </w:p>
    <w:p w:rsidR="004B2A3B" w:rsidRPr="00ED3D56" w:rsidRDefault="004B2A3B" w:rsidP="009569A2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  <w:tab w:val="left" w:pos="851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D5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Глаукома декомпенсированная.</w:t>
      </w:r>
    </w:p>
    <w:p w:rsidR="00434A7C" w:rsidRDefault="001A0052" w:rsidP="00ED3D56">
      <w:pPr>
        <w:pStyle w:val="a5"/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D3D56">
        <w:rPr>
          <w:rFonts w:ascii="Times New Roman" w:hAnsi="Times New Roman" w:cs="Times New Roman"/>
          <w:b/>
          <w:bCs/>
          <w:sz w:val="24"/>
          <w:szCs w:val="24"/>
        </w:rPr>
        <w:t xml:space="preserve">2. Сведения о профилактических прививках </w:t>
      </w:r>
      <w:r w:rsidRPr="00ED3D56">
        <w:rPr>
          <w:rFonts w:ascii="Times New Roman" w:hAnsi="Times New Roman" w:cs="Times New Roman"/>
          <w:sz w:val="24"/>
          <w:szCs w:val="24"/>
        </w:rPr>
        <w:t>должны быть представлены в прививочном сертификате (копия), а также в личной медицинской книжке</w:t>
      </w:r>
      <w:r w:rsidR="00434A7C">
        <w:rPr>
          <w:rFonts w:ascii="Times New Roman" w:hAnsi="Times New Roman" w:cs="Times New Roman"/>
          <w:sz w:val="24"/>
          <w:szCs w:val="24"/>
        </w:rPr>
        <w:t xml:space="preserve"> </w:t>
      </w:r>
      <w:r w:rsidRPr="00ED3D56">
        <w:rPr>
          <w:rFonts w:ascii="Times New Roman" w:hAnsi="Times New Roman" w:cs="Times New Roman"/>
          <w:sz w:val="24"/>
          <w:szCs w:val="24"/>
        </w:rPr>
        <w:t xml:space="preserve">(приказ Минздрава России от 21 марта 2014 г. № 125н «Об утверждении Национального календаря профилактических прививок и календаря профилактических прививок по эпидемическим показаниям», приказ Минздрава Свердловской области от 01.10.14 № 1245-п «Об утверждении регионального календаря профилактических прививок Свердловской области»): </w:t>
      </w:r>
    </w:p>
    <w:p w:rsidR="00434A7C" w:rsidRDefault="001A0052" w:rsidP="00ED3D56">
      <w:pPr>
        <w:pStyle w:val="a5"/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D3D56">
        <w:rPr>
          <w:rFonts w:ascii="Times New Roman" w:hAnsi="Times New Roman" w:cs="Times New Roman"/>
          <w:sz w:val="24"/>
          <w:szCs w:val="24"/>
        </w:rPr>
        <w:t>поступающий должен быть привит в соответствии с возрастом против</w:t>
      </w:r>
    </w:p>
    <w:p w:rsidR="00434A7C" w:rsidRDefault="001A0052" w:rsidP="00434A7C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D56">
        <w:rPr>
          <w:rFonts w:ascii="Times New Roman" w:hAnsi="Times New Roman" w:cs="Times New Roman"/>
          <w:sz w:val="24"/>
          <w:szCs w:val="24"/>
        </w:rPr>
        <w:t xml:space="preserve">дифтерии, </w:t>
      </w:r>
    </w:p>
    <w:p w:rsidR="00434A7C" w:rsidRDefault="001A0052" w:rsidP="00434A7C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D56">
        <w:rPr>
          <w:rFonts w:ascii="Times New Roman" w:hAnsi="Times New Roman" w:cs="Times New Roman"/>
          <w:sz w:val="24"/>
          <w:szCs w:val="24"/>
        </w:rPr>
        <w:t xml:space="preserve">столбняка, </w:t>
      </w:r>
    </w:p>
    <w:p w:rsidR="00434A7C" w:rsidRDefault="001A0052" w:rsidP="00434A7C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D56">
        <w:rPr>
          <w:rFonts w:ascii="Times New Roman" w:hAnsi="Times New Roman" w:cs="Times New Roman"/>
          <w:sz w:val="24"/>
          <w:szCs w:val="24"/>
        </w:rPr>
        <w:t xml:space="preserve">полиомиелита, </w:t>
      </w:r>
    </w:p>
    <w:p w:rsidR="00434A7C" w:rsidRDefault="001A0052" w:rsidP="00434A7C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D56">
        <w:rPr>
          <w:rFonts w:ascii="Times New Roman" w:hAnsi="Times New Roman" w:cs="Times New Roman"/>
          <w:sz w:val="24"/>
          <w:szCs w:val="24"/>
        </w:rPr>
        <w:t xml:space="preserve">кори, </w:t>
      </w:r>
    </w:p>
    <w:p w:rsidR="00434A7C" w:rsidRDefault="001A0052" w:rsidP="00434A7C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D56">
        <w:rPr>
          <w:rFonts w:ascii="Times New Roman" w:hAnsi="Times New Roman" w:cs="Times New Roman"/>
          <w:sz w:val="24"/>
          <w:szCs w:val="24"/>
        </w:rPr>
        <w:t>паротита,</w:t>
      </w:r>
    </w:p>
    <w:p w:rsidR="00434A7C" w:rsidRDefault="001A0052" w:rsidP="00434A7C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D56">
        <w:rPr>
          <w:rFonts w:ascii="Times New Roman" w:hAnsi="Times New Roman" w:cs="Times New Roman"/>
          <w:sz w:val="24"/>
          <w:szCs w:val="24"/>
        </w:rPr>
        <w:t xml:space="preserve">краснухи, </w:t>
      </w:r>
    </w:p>
    <w:p w:rsidR="00434A7C" w:rsidRDefault="001A0052" w:rsidP="00434A7C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D56">
        <w:rPr>
          <w:rFonts w:ascii="Times New Roman" w:hAnsi="Times New Roman" w:cs="Times New Roman"/>
          <w:sz w:val="24"/>
          <w:szCs w:val="24"/>
        </w:rPr>
        <w:t xml:space="preserve">гриппа, </w:t>
      </w:r>
    </w:p>
    <w:p w:rsidR="00434A7C" w:rsidRDefault="001A0052" w:rsidP="00434A7C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D56">
        <w:rPr>
          <w:rFonts w:ascii="Times New Roman" w:hAnsi="Times New Roman" w:cs="Times New Roman"/>
          <w:sz w:val="24"/>
          <w:szCs w:val="24"/>
        </w:rPr>
        <w:t xml:space="preserve">вирусного гепатита А, </w:t>
      </w:r>
    </w:p>
    <w:p w:rsidR="00434A7C" w:rsidRDefault="001A0052" w:rsidP="00434A7C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D56">
        <w:rPr>
          <w:rFonts w:ascii="Times New Roman" w:hAnsi="Times New Roman" w:cs="Times New Roman"/>
          <w:sz w:val="24"/>
          <w:szCs w:val="24"/>
        </w:rPr>
        <w:t xml:space="preserve">вирусного гепатита В (вакцинация и ревакцинация), </w:t>
      </w:r>
    </w:p>
    <w:p w:rsidR="00434A7C" w:rsidRDefault="001A0052" w:rsidP="00ED3D56">
      <w:pPr>
        <w:pStyle w:val="a5"/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D3D56">
        <w:rPr>
          <w:rFonts w:ascii="Times New Roman" w:hAnsi="Times New Roman" w:cs="Times New Roman"/>
          <w:sz w:val="24"/>
          <w:szCs w:val="24"/>
        </w:rPr>
        <w:t xml:space="preserve">лица до 18 лет должны иметь результаты иммунодиагностики туберкулеза: </w:t>
      </w:r>
    </w:p>
    <w:p w:rsidR="00357889" w:rsidRPr="00ED3D56" w:rsidRDefault="001A0052" w:rsidP="00434A7C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D56">
        <w:rPr>
          <w:rFonts w:ascii="Times New Roman" w:hAnsi="Times New Roman" w:cs="Times New Roman"/>
          <w:sz w:val="24"/>
          <w:szCs w:val="24"/>
        </w:rPr>
        <w:t>реакция Манту, Диаскинтест</w:t>
      </w:r>
    </w:p>
    <w:sectPr w:rsidR="00357889" w:rsidRPr="00ED3D56" w:rsidSect="00357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866BB"/>
    <w:multiLevelType w:val="multilevel"/>
    <w:tmpl w:val="EA7C4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1374FD"/>
    <w:multiLevelType w:val="hybridMultilevel"/>
    <w:tmpl w:val="C6A400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5730FB0"/>
    <w:multiLevelType w:val="multilevel"/>
    <w:tmpl w:val="F9B42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0456E3"/>
    <w:multiLevelType w:val="hybridMultilevel"/>
    <w:tmpl w:val="45764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621C36"/>
    <w:multiLevelType w:val="hybridMultilevel"/>
    <w:tmpl w:val="0F3AAB6C"/>
    <w:lvl w:ilvl="0" w:tplc="936AE4CC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>
    <w:nsid w:val="483E3034"/>
    <w:multiLevelType w:val="hybridMultilevel"/>
    <w:tmpl w:val="DE6A209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5FC60C4E"/>
    <w:multiLevelType w:val="hybridMultilevel"/>
    <w:tmpl w:val="DEC81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D85FA6"/>
    <w:multiLevelType w:val="hybridMultilevel"/>
    <w:tmpl w:val="4E8A7D8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B2A3B"/>
    <w:rsid w:val="001A0052"/>
    <w:rsid w:val="00357889"/>
    <w:rsid w:val="00434A7C"/>
    <w:rsid w:val="004B2A3B"/>
    <w:rsid w:val="005811E6"/>
    <w:rsid w:val="008D7528"/>
    <w:rsid w:val="008E567E"/>
    <w:rsid w:val="009569A2"/>
    <w:rsid w:val="00A33D34"/>
    <w:rsid w:val="00B06BA9"/>
    <w:rsid w:val="00B12C42"/>
    <w:rsid w:val="00B2179A"/>
    <w:rsid w:val="00BA4348"/>
    <w:rsid w:val="00E57110"/>
    <w:rsid w:val="00ED3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8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2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4B2A3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4B2A3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2A3B"/>
    <w:rPr>
      <w:b/>
      <w:bCs/>
    </w:rPr>
  </w:style>
  <w:style w:type="paragraph" w:customStyle="1" w:styleId="Default">
    <w:name w:val="Default"/>
    <w:rsid w:val="001A00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1A00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8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0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313751">
              <w:marLeft w:val="0"/>
              <w:marRight w:val="0"/>
              <w:marTop w:val="0"/>
              <w:marBottom w:val="0"/>
              <w:divBdr>
                <w:top w:val="single" w:sz="18" w:space="8" w:color="153654"/>
                <w:left w:val="single" w:sz="18" w:space="11" w:color="153654"/>
                <w:bottom w:val="single" w:sz="18" w:space="8" w:color="153654"/>
                <w:right w:val="single" w:sz="18" w:space="11" w:color="153654"/>
              </w:divBdr>
              <w:divsChild>
                <w:div w:id="135839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46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787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45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913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399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657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2767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B2BE29-5820-43CD-9B4C-35D5A9898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1437</Words>
  <Characters>8193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IRachenkova</dc:creator>
  <cp:lastModifiedBy>ЮрловАВ</cp:lastModifiedBy>
  <cp:revision>2</cp:revision>
  <dcterms:created xsi:type="dcterms:W3CDTF">2018-03-02T10:16:00Z</dcterms:created>
  <dcterms:modified xsi:type="dcterms:W3CDTF">2018-03-02T10:16:00Z</dcterms:modified>
</cp:coreProperties>
</file>